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6EF5" w14:textId="77777777" w:rsidR="0045253A" w:rsidRPr="00415D75" w:rsidRDefault="0045253A" w:rsidP="00BF1B55">
      <w:pPr>
        <w:jc w:val="both"/>
      </w:pPr>
      <w:r w:rsidRPr="00415D75">
        <w:t>Comunicat del grup municipal CUP – Capgirem Barcelona, districte de Sant Andreu</w:t>
      </w:r>
    </w:p>
    <w:p w14:paraId="6AD4724F" w14:textId="77777777" w:rsidR="0045253A" w:rsidRPr="00415D75" w:rsidRDefault="0045253A" w:rsidP="00BF1B55">
      <w:pPr>
        <w:jc w:val="both"/>
      </w:pPr>
    </w:p>
    <w:p w14:paraId="73324193" w14:textId="57AAA6A4" w:rsidR="0029652F" w:rsidRPr="00415D75" w:rsidRDefault="0045253A" w:rsidP="00BF1B55">
      <w:pPr>
        <w:jc w:val="both"/>
      </w:pPr>
      <w:r w:rsidRPr="00415D75">
        <w:t xml:space="preserve">Des del districte de Sant Andreu, el grup municipal CUP – Capgirem Barcelona </w:t>
      </w:r>
      <w:r w:rsidR="00415D75" w:rsidRPr="00415D75">
        <w:t>ens</w:t>
      </w:r>
      <w:r w:rsidR="00BF1B55">
        <w:t xml:space="preserve"> posicionem</w:t>
      </w:r>
      <w:r w:rsidRPr="00415D75">
        <w:t xml:space="preserve"> en contra del PMU</w:t>
      </w:r>
      <w:r w:rsidR="00BF1B55">
        <w:t xml:space="preserve"> (</w:t>
      </w:r>
      <w:r w:rsidR="00BF1B55">
        <w:rPr>
          <w:i/>
        </w:rPr>
        <w:t>Pla de millora urbana)</w:t>
      </w:r>
      <w:r w:rsidRPr="00415D75">
        <w:t xml:space="preserve"> promogut per Unibail Rodamco Steam, S.L.U. en relació a l’ampliació </w:t>
      </w:r>
      <w:r w:rsidR="002F31D2">
        <w:t xml:space="preserve">de 36.000m2 </w:t>
      </w:r>
      <w:r w:rsidRPr="00415D75">
        <w:t>del centre comercial “</w:t>
      </w:r>
      <w:r w:rsidRPr="00415D75">
        <w:rPr>
          <w:i/>
        </w:rPr>
        <w:t xml:space="preserve">La </w:t>
      </w:r>
      <w:r w:rsidRPr="00415D75">
        <w:t>Maquinista”</w:t>
      </w:r>
      <w:r w:rsidR="002F31D2">
        <w:t xml:space="preserve">, i que aproparia el centre a posseir una superfície total de 92.000m2, que és la xifra pactada dins la Modificació del Pla General Metropolità (MPGM) impulsada per CiU i PP durant l’anterior legislatura. </w:t>
      </w:r>
    </w:p>
    <w:p w14:paraId="6A0A8E6C" w14:textId="77777777" w:rsidR="0029652F" w:rsidRDefault="0029652F" w:rsidP="00BF1B55">
      <w:pPr>
        <w:pStyle w:val="NormalWeb"/>
        <w:jc w:val="both"/>
        <w:rPr>
          <w:rFonts w:asciiTheme="minorHAnsi" w:hAnsiTheme="minorHAnsi" w:cstheme="minorBidi"/>
          <w:lang w:val="ca-ES" w:eastAsia="en-US"/>
        </w:rPr>
      </w:pPr>
      <w:r w:rsidRPr="00415D75">
        <w:rPr>
          <w:rFonts w:asciiTheme="minorHAnsi" w:hAnsiTheme="minorHAnsi" w:cstheme="minorBidi"/>
          <w:lang w:val="ca-ES" w:eastAsia="en-US"/>
        </w:rPr>
        <w:t xml:space="preserve">Per una banda, entenem que </w:t>
      </w:r>
      <w:r w:rsidR="0045253A" w:rsidRPr="00415D75">
        <w:rPr>
          <w:rFonts w:asciiTheme="minorHAnsi" w:hAnsiTheme="minorHAnsi" w:cstheme="minorBidi"/>
          <w:lang w:val="ca-ES" w:eastAsia="en-US"/>
        </w:rPr>
        <w:t xml:space="preserve">els valors que </w:t>
      </w:r>
      <w:r w:rsidR="00340B21">
        <w:rPr>
          <w:rFonts w:asciiTheme="minorHAnsi" w:hAnsiTheme="minorHAnsi" w:cstheme="minorBidi"/>
          <w:lang w:val="ca-ES" w:eastAsia="en-US"/>
        </w:rPr>
        <w:t>fonamenten</w:t>
      </w:r>
      <w:r w:rsidR="0045253A" w:rsidRPr="00415D75">
        <w:rPr>
          <w:rFonts w:asciiTheme="minorHAnsi" w:hAnsiTheme="minorHAnsi" w:cstheme="minorBidi"/>
          <w:lang w:val="ca-ES" w:eastAsia="en-US"/>
        </w:rPr>
        <w:t xml:space="preserve"> aquest</w:t>
      </w:r>
      <w:r w:rsidR="00415D75" w:rsidRPr="00415D75">
        <w:rPr>
          <w:rFonts w:asciiTheme="minorHAnsi" w:hAnsiTheme="minorHAnsi" w:cstheme="minorBidi"/>
          <w:lang w:val="ca-ES" w:eastAsia="en-US"/>
        </w:rPr>
        <w:t xml:space="preserve"> projecte es desvinculen completament de les estructures comercials dels nostres barris</w:t>
      </w:r>
      <w:r w:rsidR="00415D75">
        <w:rPr>
          <w:rFonts w:asciiTheme="minorHAnsi" w:hAnsiTheme="minorHAnsi" w:cstheme="minorBidi"/>
          <w:lang w:val="ca-ES" w:eastAsia="en-US"/>
        </w:rPr>
        <w:t>,</w:t>
      </w:r>
      <w:r w:rsidR="00415D75" w:rsidRPr="00415D75">
        <w:rPr>
          <w:rFonts w:asciiTheme="minorHAnsi" w:hAnsiTheme="minorHAnsi" w:cstheme="minorBidi"/>
          <w:lang w:val="ca-ES" w:eastAsia="en-US"/>
        </w:rPr>
        <w:t xml:space="preserve"> i que respon</w:t>
      </w:r>
      <w:r w:rsidR="00415D75">
        <w:rPr>
          <w:rFonts w:asciiTheme="minorHAnsi" w:hAnsiTheme="minorHAnsi" w:cstheme="minorBidi"/>
          <w:lang w:val="ca-ES" w:eastAsia="en-US"/>
        </w:rPr>
        <w:t>en</w:t>
      </w:r>
      <w:r w:rsidR="00415D75" w:rsidRPr="00415D75">
        <w:rPr>
          <w:rFonts w:asciiTheme="minorHAnsi" w:hAnsiTheme="minorHAnsi" w:cstheme="minorBidi"/>
          <w:lang w:val="ca-ES" w:eastAsia="en-US"/>
        </w:rPr>
        <w:t xml:space="preserve"> només</w:t>
      </w:r>
      <w:r w:rsidR="00415D75">
        <w:rPr>
          <w:rFonts w:asciiTheme="minorHAnsi" w:hAnsiTheme="minorHAnsi" w:cstheme="minorBidi"/>
          <w:lang w:val="ca-ES" w:eastAsia="en-US"/>
        </w:rPr>
        <w:t xml:space="preserve"> a</w:t>
      </w:r>
      <w:r w:rsidRPr="00415D75">
        <w:rPr>
          <w:rFonts w:asciiTheme="minorHAnsi" w:hAnsiTheme="minorHAnsi" w:cstheme="minorBidi"/>
          <w:lang w:val="ca-ES" w:eastAsia="en-US"/>
        </w:rPr>
        <w:t xml:space="preserve"> reforçar l’ampliació i extensió de les</w:t>
      </w:r>
      <w:r w:rsidR="0045253A" w:rsidRPr="00415D75">
        <w:rPr>
          <w:rFonts w:asciiTheme="minorHAnsi" w:hAnsiTheme="minorHAnsi" w:cstheme="minorBidi"/>
          <w:lang w:val="ca-ES" w:eastAsia="en-US"/>
        </w:rPr>
        <w:t xml:space="preserve"> estructures productives </w:t>
      </w:r>
      <w:r w:rsidRPr="00415D75">
        <w:rPr>
          <w:rFonts w:asciiTheme="minorHAnsi" w:hAnsiTheme="minorHAnsi" w:cstheme="minorBidi"/>
          <w:lang w:val="ca-ES" w:eastAsia="en-US"/>
        </w:rPr>
        <w:t>pròpies d’un</w:t>
      </w:r>
      <w:r w:rsidR="0045253A" w:rsidRPr="00415D75">
        <w:rPr>
          <w:rFonts w:asciiTheme="minorHAnsi" w:hAnsiTheme="minorHAnsi" w:cstheme="minorBidi"/>
          <w:lang w:val="ca-ES" w:eastAsia="en-US"/>
        </w:rPr>
        <w:t xml:space="preserve"> sistema capitalista de lliu</w:t>
      </w:r>
      <w:r w:rsidRPr="00415D75">
        <w:rPr>
          <w:rFonts w:asciiTheme="minorHAnsi" w:hAnsiTheme="minorHAnsi" w:cstheme="minorBidi"/>
          <w:lang w:val="ca-ES" w:eastAsia="en-US"/>
        </w:rPr>
        <w:t xml:space="preserve">re mercat </w:t>
      </w:r>
      <w:r w:rsidR="00415D75">
        <w:rPr>
          <w:rFonts w:asciiTheme="minorHAnsi" w:hAnsiTheme="minorHAnsi" w:cstheme="minorBidi"/>
          <w:lang w:val="ca-ES" w:eastAsia="en-US"/>
        </w:rPr>
        <w:t xml:space="preserve">que perjudica, de manera oberta i descarada, </w:t>
      </w:r>
      <w:r w:rsidR="00415D75" w:rsidRPr="00415D75">
        <w:rPr>
          <w:rFonts w:asciiTheme="minorHAnsi" w:hAnsiTheme="minorHAnsi" w:cstheme="minorBidi"/>
          <w:lang w:val="ca-ES" w:eastAsia="en-US"/>
        </w:rPr>
        <w:t>els</w:t>
      </w:r>
      <w:r w:rsidRPr="00415D75">
        <w:rPr>
          <w:rFonts w:asciiTheme="minorHAnsi" w:hAnsiTheme="minorHAnsi" w:cstheme="minorBidi"/>
          <w:lang w:val="ca-ES" w:eastAsia="en-US"/>
        </w:rPr>
        <w:t xml:space="preserve"> interessos de les persones </w:t>
      </w:r>
      <w:r w:rsidR="00415D75" w:rsidRPr="00415D75">
        <w:rPr>
          <w:rFonts w:asciiTheme="minorHAnsi" w:hAnsiTheme="minorHAnsi" w:cstheme="minorBidi"/>
          <w:lang w:val="ca-ES" w:eastAsia="en-US"/>
        </w:rPr>
        <w:t xml:space="preserve">treballadores </w:t>
      </w:r>
      <w:r w:rsidR="007553C9">
        <w:rPr>
          <w:rFonts w:asciiTheme="minorHAnsi" w:hAnsiTheme="minorHAnsi" w:cstheme="minorBidi"/>
          <w:lang w:val="ca-ES" w:eastAsia="en-US"/>
        </w:rPr>
        <w:t>i promou</w:t>
      </w:r>
      <w:r w:rsidR="00340B21">
        <w:rPr>
          <w:rFonts w:asciiTheme="minorHAnsi" w:hAnsiTheme="minorHAnsi" w:cstheme="minorBidi"/>
          <w:lang w:val="ca-ES" w:eastAsia="en-US"/>
        </w:rPr>
        <w:t>, en paral·lel,</w:t>
      </w:r>
      <w:r w:rsidR="00415D75">
        <w:rPr>
          <w:rFonts w:asciiTheme="minorHAnsi" w:hAnsiTheme="minorHAnsi" w:cstheme="minorBidi"/>
          <w:lang w:val="ca-ES" w:eastAsia="en-US"/>
        </w:rPr>
        <w:t xml:space="preserve"> </w:t>
      </w:r>
      <w:r w:rsidR="00415D75" w:rsidRPr="00415D75">
        <w:rPr>
          <w:rFonts w:asciiTheme="minorHAnsi" w:hAnsiTheme="minorHAnsi" w:cstheme="minorBidi"/>
          <w:lang w:val="ca-ES" w:eastAsia="en-US"/>
        </w:rPr>
        <w:t xml:space="preserve">l’explotació de les mateixes en mans de les grans </w:t>
      </w:r>
      <w:r w:rsidR="00415D75">
        <w:rPr>
          <w:rFonts w:asciiTheme="minorHAnsi" w:hAnsiTheme="minorHAnsi" w:cstheme="minorBidi"/>
          <w:lang w:val="ca-ES" w:eastAsia="en-US"/>
        </w:rPr>
        <w:t>cadenes comercials.</w:t>
      </w:r>
      <w:r w:rsidR="00415D75" w:rsidRPr="00415D75">
        <w:rPr>
          <w:rFonts w:asciiTheme="minorHAnsi" w:hAnsiTheme="minorHAnsi" w:cstheme="minorBidi"/>
          <w:lang w:val="ca-ES" w:eastAsia="en-US"/>
        </w:rPr>
        <w:t xml:space="preserve"> </w:t>
      </w:r>
    </w:p>
    <w:p w14:paraId="3206C656" w14:textId="77777777" w:rsidR="007553C9" w:rsidRDefault="00340B21" w:rsidP="00BF1B55">
      <w:pPr>
        <w:pStyle w:val="NormalWeb"/>
        <w:jc w:val="both"/>
        <w:rPr>
          <w:rFonts w:asciiTheme="minorHAnsi" w:hAnsiTheme="minorHAnsi" w:cstheme="minorBidi"/>
          <w:lang w:val="ca-ES" w:eastAsia="en-US"/>
        </w:rPr>
      </w:pPr>
      <w:r>
        <w:rPr>
          <w:rFonts w:asciiTheme="minorHAnsi" w:hAnsiTheme="minorHAnsi" w:cstheme="minorBidi"/>
          <w:lang w:val="ca-ES" w:eastAsia="en-US"/>
        </w:rPr>
        <w:t>Entenem també que un projecte d’explotació privada d’aquestes característiques no pot condicionar l’actuació pública planificada di</w:t>
      </w:r>
      <w:r w:rsidR="007553C9">
        <w:rPr>
          <w:rFonts w:asciiTheme="minorHAnsi" w:hAnsiTheme="minorHAnsi" w:cstheme="minorBidi"/>
          <w:lang w:val="ca-ES" w:eastAsia="en-US"/>
        </w:rPr>
        <w:t xml:space="preserve">ntre de les mateixes instàncies. </w:t>
      </w:r>
      <w:r>
        <w:rPr>
          <w:rFonts w:asciiTheme="minorHAnsi" w:hAnsiTheme="minorHAnsi" w:cstheme="minorBidi"/>
          <w:lang w:val="ca-ES" w:eastAsia="en-US"/>
        </w:rPr>
        <w:t>En aquest sentit, el PMU preveu</w:t>
      </w:r>
      <w:r w:rsidR="007553C9">
        <w:rPr>
          <w:rFonts w:asciiTheme="minorHAnsi" w:hAnsiTheme="minorHAnsi" w:cstheme="minorBidi"/>
          <w:lang w:val="ca-ES" w:eastAsia="en-US"/>
        </w:rPr>
        <w:t xml:space="preserve"> realitzar actuacions al subsòl dels sols públics</w:t>
      </w:r>
      <w:r w:rsidR="00BF1B55">
        <w:rPr>
          <w:rFonts w:asciiTheme="minorHAnsi" w:hAnsiTheme="minorHAnsi" w:cstheme="minorBidi"/>
          <w:lang w:val="ca-ES" w:eastAsia="en-US"/>
        </w:rPr>
        <w:t>,</w:t>
      </w:r>
      <w:r w:rsidR="007553C9">
        <w:rPr>
          <w:rFonts w:asciiTheme="minorHAnsi" w:hAnsiTheme="minorHAnsi" w:cstheme="minorBidi"/>
          <w:lang w:val="ca-ES" w:eastAsia="en-US"/>
        </w:rPr>
        <w:t xml:space="preserve"> cedits a l’Ajuntament de Barcelona </w:t>
      </w:r>
      <w:r w:rsidR="00BF1B55">
        <w:rPr>
          <w:rFonts w:asciiTheme="minorHAnsi" w:hAnsiTheme="minorHAnsi" w:cstheme="minorBidi"/>
          <w:lang w:val="ca-ES" w:eastAsia="en-US"/>
        </w:rPr>
        <w:t>per a</w:t>
      </w:r>
      <w:r w:rsidR="007553C9">
        <w:rPr>
          <w:rFonts w:asciiTheme="minorHAnsi" w:hAnsiTheme="minorHAnsi" w:cstheme="minorBidi"/>
          <w:lang w:val="ca-ES" w:eastAsia="en-US"/>
        </w:rPr>
        <w:t xml:space="preserve"> la construcció d’una futura escola i de zona verda, per ampliar els aparcaments i habilitar els accessos d’aquest futur centre comercial i,</w:t>
      </w:r>
      <w:r w:rsidR="00BF1B55">
        <w:rPr>
          <w:rFonts w:asciiTheme="minorHAnsi" w:hAnsiTheme="minorHAnsi" w:cstheme="minorBidi"/>
          <w:lang w:val="ca-ES" w:eastAsia="en-US"/>
        </w:rPr>
        <w:t xml:space="preserve"> a més a més,  incomplint el </w:t>
      </w:r>
      <w:r w:rsidR="00BF1B55" w:rsidRPr="00BF1B55">
        <w:rPr>
          <w:rFonts w:asciiTheme="minorHAnsi" w:hAnsiTheme="minorHAnsi" w:cstheme="minorBidi"/>
          <w:lang w:val="ca-ES" w:eastAsia="en-US"/>
        </w:rPr>
        <w:t>Text refós de la Llei d’Urbanisme de Catalunya (TRLUC),</w:t>
      </w:r>
      <w:r w:rsidR="00BF1B55">
        <w:rPr>
          <w:rFonts w:asciiTheme="minorHAnsi" w:hAnsiTheme="minorHAnsi" w:cstheme="minorBidi"/>
          <w:lang w:val="ca-ES" w:eastAsia="en-US"/>
        </w:rPr>
        <w:t xml:space="preserve"> </w:t>
      </w:r>
      <w:r w:rsidR="007553C9">
        <w:rPr>
          <w:rFonts w:asciiTheme="minorHAnsi" w:hAnsiTheme="minorHAnsi" w:cstheme="minorBidi"/>
          <w:lang w:val="ca-ES" w:eastAsia="en-US"/>
        </w:rPr>
        <w:t xml:space="preserve">el grup </w:t>
      </w:r>
      <w:r w:rsidR="007553C9">
        <w:rPr>
          <w:rFonts w:asciiTheme="minorHAnsi" w:hAnsiTheme="minorHAnsi" w:cstheme="minorBidi"/>
          <w:i/>
          <w:lang w:val="ca-ES" w:eastAsia="en-US"/>
        </w:rPr>
        <w:t xml:space="preserve">Unibail Rodamco Steam, S.L.U </w:t>
      </w:r>
      <w:r w:rsidR="00BF1B55">
        <w:rPr>
          <w:rFonts w:asciiTheme="minorHAnsi" w:hAnsiTheme="minorHAnsi" w:cstheme="minorBidi"/>
          <w:lang w:val="ca-ES" w:eastAsia="en-US"/>
        </w:rPr>
        <w:t xml:space="preserve">anuncia que, en comptes d’iniciar la construcció dels habitatges de protecció social abans dels 2 anys posteriors a la consideració de la parcel·la com a solar tal i com marca la llei, no començaran les obres fins 12 anys després de l’aprovació del projecte. </w:t>
      </w:r>
    </w:p>
    <w:p w14:paraId="69C45F78" w14:textId="21831A3B" w:rsidR="00892E03" w:rsidRPr="00892E03" w:rsidRDefault="00892E03" w:rsidP="00BF1B55">
      <w:pPr>
        <w:pStyle w:val="NormalWeb"/>
        <w:jc w:val="both"/>
        <w:rPr>
          <w:rFonts w:asciiTheme="minorHAnsi" w:hAnsiTheme="minorHAnsi" w:cstheme="minorBidi"/>
          <w:lang w:val="ca-ES" w:eastAsia="en-US"/>
        </w:rPr>
      </w:pPr>
      <w:r>
        <w:rPr>
          <w:rFonts w:asciiTheme="minorHAnsi" w:hAnsiTheme="minorHAnsi" w:cstheme="minorBidi"/>
          <w:lang w:val="ca-ES" w:eastAsia="en-US"/>
        </w:rPr>
        <w:t xml:space="preserve">En aquests sentit, i tenint en compte els informes jurídics, tècnics i sectorials, presentats per l’Ajuntament de Barcelona, que desaconsellen que aquest PMU tiri endavant, des de la CUP – Capgirem Barcelona </w:t>
      </w:r>
      <w:r w:rsidR="008B1BAB">
        <w:rPr>
          <w:rFonts w:asciiTheme="minorHAnsi" w:hAnsiTheme="minorHAnsi" w:cstheme="minorBidi"/>
          <w:lang w:val="ca-ES" w:eastAsia="en-US"/>
        </w:rPr>
        <w:t>estem a favor de</w:t>
      </w:r>
      <w:bookmarkStart w:id="0" w:name="_GoBack"/>
      <w:bookmarkEnd w:id="0"/>
      <w:r>
        <w:rPr>
          <w:rFonts w:asciiTheme="minorHAnsi" w:hAnsiTheme="minorHAnsi" w:cstheme="minorBidi"/>
          <w:lang w:val="ca-ES" w:eastAsia="en-US"/>
        </w:rPr>
        <w:t xml:space="preserve"> l’elaboració d’un nou estudi de viabilitat del projecte que </w:t>
      </w:r>
      <w:r w:rsidR="008B1BAB">
        <w:rPr>
          <w:rFonts w:asciiTheme="minorHAnsi" w:hAnsiTheme="minorHAnsi" w:cstheme="minorBidi"/>
          <w:lang w:val="ca-ES" w:eastAsia="en-US"/>
        </w:rPr>
        <w:t>contempli</w:t>
      </w:r>
      <w:r>
        <w:rPr>
          <w:rFonts w:asciiTheme="minorHAnsi" w:hAnsiTheme="minorHAnsi" w:cstheme="minorBidi"/>
          <w:lang w:val="ca-ES" w:eastAsia="en-US"/>
        </w:rPr>
        <w:t xml:space="preserve"> tots els actors socials del d</w:t>
      </w:r>
      <w:r w:rsidR="008B1BAB">
        <w:rPr>
          <w:rFonts w:asciiTheme="minorHAnsi" w:hAnsiTheme="minorHAnsi" w:cstheme="minorBidi"/>
          <w:lang w:val="ca-ES" w:eastAsia="en-US"/>
        </w:rPr>
        <w:t xml:space="preserve">istricte i de la ciutat, per tal d’aconseguir posar en relleu les necessitats del barri i donar-hi solucions. </w:t>
      </w:r>
    </w:p>
    <w:p w14:paraId="48F3A9CF" w14:textId="3FB3D07C" w:rsidR="0045253A" w:rsidRDefault="00415D75" w:rsidP="00BF1B55">
      <w:pPr>
        <w:pStyle w:val="NormalWeb"/>
        <w:jc w:val="both"/>
        <w:rPr>
          <w:rFonts w:ascii="Calibri" w:hAnsi="Calibri"/>
          <w:lang w:val="ca-ES"/>
        </w:rPr>
      </w:pPr>
      <w:r>
        <w:rPr>
          <w:rFonts w:asciiTheme="minorHAnsi" w:hAnsiTheme="minorHAnsi" w:cstheme="minorBidi"/>
          <w:lang w:val="ca-ES" w:eastAsia="en-US"/>
        </w:rPr>
        <w:t>Aix</w:t>
      </w:r>
      <w:r w:rsidR="009219BA">
        <w:rPr>
          <w:rFonts w:asciiTheme="minorHAnsi" w:hAnsiTheme="minorHAnsi" w:cstheme="minorBidi"/>
          <w:lang w:val="ca-ES" w:eastAsia="en-US"/>
        </w:rPr>
        <w:t>í doncs, exposem la necessitat d’</w:t>
      </w:r>
      <w:r w:rsidRPr="00415D75">
        <w:rPr>
          <w:rFonts w:asciiTheme="minorHAnsi" w:hAnsiTheme="minorHAnsi" w:cstheme="minorBidi"/>
          <w:lang w:val="ca-ES" w:eastAsia="en-US"/>
        </w:rPr>
        <w:t>un pla</w:t>
      </w:r>
      <w:r>
        <w:rPr>
          <w:rFonts w:asciiTheme="minorHAnsi" w:hAnsiTheme="minorHAnsi" w:cstheme="minorBidi"/>
          <w:lang w:val="ca-ES" w:eastAsia="en-US"/>
        </w:rPr>
        <w:t xml:space="preserve"> d’usos que posi fi a la proliferació d</w:t>
      </w:r>
      <w:r w:rsidR="00BF1B55">
        <w:rPr>
          <w:rFonts w:asciiTheme="minorHAnsi" w:hAnsiTheme="minorHAnsi" w:cstheme="minorBidi"/>
          <w:lang w:val="ca-ES" w:eastAsia="en-US"/>
        </w:rPr>
        <w:t>e les</w:t>
      </w:r>
      <w:r w:rsidR="00340B21">
        <w:rPr>
          <w:rFonts w:asciiTheme="minorHAnsi" w:hAnsiTheme="minorHAnsi" w:cstheme="minorBidi"/>
          <w:lang w:val="ca-ES" w:eastAsia="en-US"/>
        </w:rPr>
        <w:t xml:space="preserve"> grans superfícies</w:t>
      </w:r>
      <w:r w:rsidR="00BF1B55">
        <w:rPr>
          <w:rFonts w:asciiTheme="minorHAnsi" w:hAnsiTheme="minorHAnsi" w:cstheme="minorBidi"/>
          <w:lang w:val="ca-ES" w:eastAsia="en-US"/>
        </w:rPr>
        <w:t xml:space="preserve"> arreu del territori</w:t>
      </w:r>
      <w:r w:rsidR="00340B21">
        <w:rPr>
          <w:rFonts w:asciiTheme="minorHAnsi" w:hAnsiTheme="minorHAnsi" w:cstheme="minorBidi"/>
          <w:lang w:val="ca-ES" w:eastAsia="en-US"/>
        </w:rPr>
        <w:t xml:space="preserve"> i que</w:t>
      </w:r>
      <w:r w:rsidR="00BF1B55">
        <w:rPr>
          <w:rFonts w:asciiTheme="minorHAnsi" w:hAnsiTheme="minorHAnsi" w:cstheme="minorBidi"/>
          <w:lang w:val="ca-ES" w:eastAsia="en-US"/>
        </w:rPr>
        <w:t xml:space="preserve">, </w:t>
      </w:r>
      <w:r w:rsidR="00340B21">
        <w:rPr>
          <w:rFonts w:asciiTheme="minorHAnsi" w:hAnsiTheme="minorHAnsi" w:cstheme="minorBidi"/>
          <w:lang w:val="ca-ES" w:eastAsia="en-US"/>
        </w:rPr>
        <w:t>alhora</w:t>
      </w:r>
      <w:r w:rsidR="00BF1B55">
        <w:rPr>
          <w:rFonts w:asciiTheme="minorHAnsi" w:hAnsiTheme="minorHAnsi" w:cstheme="minorBidi"/>
          <w:lang w:val="ca-ES" w:eastAsia="en-US"/>
        </w:rPr>
        <w:t>,</w:t>
      </w:r>
      <w:r>
        <w:rPr>
          <w:rFonts w:asciiTheme="minorHAnsi" w:hAnsiTheme="minorHAnsi" w:cstheme="minorBidi"/>
          <w:lang w:val="ca-ES" w:eastAsia="en-US"/>
        </w:rPr>
        <w:t xml:space="preserve"> prom</w:t>
      </w:r>
      <w:r>
        <w:rPr>
          <w:rFonts w:ascii="Calibri" w:hAnsi="Calibri"/>
          <w:lang w:val="ca-ES"/>
        </w:rPr>
        <w:t>ogui</w:t>
      </w:r>
      <w:r w:rsidR="00340B21">
        <w:rPr>
          <w:rFonts w:ascii="Calibri" w:hAnsi="Calibri"/>
          <w:lang w:val="ca-ES"/>
        </w:rPr>
        <w:t xml:space="preserve"> </w:t>
      </w:r>
      <w:r w:rsidRPr="00415D75">
        <w:rPr>
          <w:rFonts w:ascii="Calibri" w:hAnsi="Calibri"/>
          <w:lang w:val="ca-ES"/>
        </w:rPr>
        <w:t xml:space="preserve">l’economia social </w:t>
      </w:r>
      <w:r w:rsidR="00340B21">
        <w:rPr>
          <w:rFonts w:ascii="Calibri" w:hAnsi="Calibri"/>
          <w:lang w:val="ca-ES"/>
        </w:rPr>
        <w:t xml:space="preserve">així com també, la cohesió i l’impuls de l’actual àrea comercial formada pel comerç tradicional i de proximitat. Per tant, tal i com manifestem en el nostre programa electoral, ens oposem frontalment a les ampliacions de les grans superfícies entre les quals trobem </w:t>
      </w:r>
      <w:r w:rsidR="00BF1B55">
        <w:rPr>
          <w:rFonts w:ascii="Calibri" w:hAnsi="Calibri"/>
          <w:lang w:val="ca-ES"/>
        </w:rPr>
        <w:t xml:space="preserve">altres </w:t>
      </w:r>
      <w:r w:rsidR="00340B21">
        <w:rPr>
          <w:rFonts w:ascii="Calibri" w:hAnsi="Calibri"/>
          <w:lang w:val="ca-ES"/>
        </w:rPr>
        <w:t xml:space="preserve">exemples molt propers com </w:t>
      </w:r>
      <w:r w:rsidR="00BF1B55">
        <w:rPr>
          <w:rFonts w:ascii="Calibri" w:hAnsi="Calibri"/>
          <w:lang w:val="ca-ES"/>
        </w:rPr>
        <w:t xml:space="preserve">és el cas </w:t>
      </w:r>
      <w:r w:rsidR="00340B21">
        <w:rPr>
          <w:rFonts w:ascii="Calibri" w:hAnsi="Calibri"/>
          <w:lang w:val="ca-ES"/>
        </w:rPr>
        <w:t>de l’</w:t>
      </w:r>
      <w:r w:rsidR="00BF1B55">
        <w:rPr>
          <w:rFonts w:ascii="Calibri" w:hAnsi="Calibri"/>
          <w:lang w:val="ca-ES"/>
        </w:rPr>
        <w:t>Heron City i</w:t>
      </w:r>
      <w:r w:rsidR="00340B21">
        <w:rPr>
          <w:rFonts w:ascii="Calibri" w:hAnsi="Calibri"/>
          <w:lang w:val="ca-ES"/>
        </w:rPr>
        <w:t xml:space="preserve"> la futura estació intermodal de la Sagrera.</w:t>
      </w:r>
    </w:p>
    <w:p w14:paraId="46C63880" w14:textId="77777777" w:rsidR="0045253A" w:rsidRPr="00415D75" w:rsidRDefault="0045253A" w:rsidP="00BF1B55">
      <w:pPr>
        <w:jc w:val="both"/>
      </w:pPr>
    </w:p>
    <w:sectPr w:rsidR="0045253A" w:rsidRPr="00415D75" w:rsidSect="00D518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FA62A" w14:textId="77777777" w:rsidR="009F665D" w:rsidRDefault="009F665D" w:rsidP="0045253A">
      <w:r>
        <w:separator/>
      </w:r>
    </w:p>
  </w:endnote>
  <w:endnote w:type="continuationSeparator" w:id="0">
    <w:p w14:paraId="5B544B65" w14:textId="77777777" w:rsidR="009F665D" w:rsidRDefault="009F665D" w:rsidP="0045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D082" w14:textId="77777777" w:rsidR="009F665D" w:rsidRDefault="009F665D" w:rsidP="0045253A">
      <w:r>
        <w:separator/>
      </w:r>
    </w:p>
  </w:footnote>
  <w:footnote w:type="continuationSeparator" w:id="0">
    <w:p w14:paraId="4B8C5BFB" w14:textId="77777777" w:rsidR="009F665D" w:rsidRDefault="009F665D" w:rsidP="0045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187D"/>
    <w:multiLevelType w:val="multilevel"/>
    <w:tmpl w:val="6DDA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B3692"/>
    <w:multiLevelType w:val="multilevel"/>
    <w:tmpl w:val="8760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A"/>
    <w:rsid w:val="000B1E17"/>
    <w:rsid w:val="000C45C5"/>
    <w:rsid w:val="000E18B8"/>
    <w:rsid w:val="001A4AF4"/>
    <w:rsid w:val="0029652F"/>
    <w:rsid w:val="002F31D2"/>
    <w:rsid w:val="0031389E"/>
    <w:rsid w:val="00340B21"/>
    <w:rsid w:val="00415D75"/>
    <w:rsid w:val="004256D6"/>
    <w:rsid w:val="0045253A"/>
    <w:rsid w:val="007553C9"/>
    <w:rsid w:val="007C1B5D"/>
    <w:rsid w:val="008648CB"/>
    <w:rsid w:val="00892E03"/>
    <w:rsid w:val="008B1BAB"/>
    <w:rsid w:val="009219BA"/>
    <w:rsid w:val="00971952"/>
    <w:rsid w:val="009F665D"/>
    <w:rsid w:val="00BF1B55"/>
    <w:rsid w:val="00C801BB"/>
    <w:rsid w:val="00D020EC"/>
    <w:rsid w:val="00D51899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56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253A"/>
  </w:style>
  <w:style w:type="character" w:customStyle="1" w:styleId="FootnoteTextChar">
    <w:name w:val="Footnote Text Char"/>
    <w:basedOn w:val="DefaultParagraphFont"/>
    <w:link w:val="FootnoteText"/>
    <w:uiPriority w:val="99"/>
    <w:rsid w:val="0045253A"/>
    <w:rPr>
      <w:lang w:val="ca-ES"/>
    </w:rPr>
  </w:style>
  <w:style w:type="character" w:styleId="FootnoteReference">
    <w:name w:val="footnote reference"/>
    <w:basedOn w:val="DefaultParagraphFont"/>
    <w:uiPriority w:val="99"/>
    <w:unhideWhenUsed/>
    <w:rsid w:val="004525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253A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585AE-290E-433C-AC3E-5DD41EE1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 Ribera García</dc:creator>
  <cp:keywords/>
  <dc:description/>
  <cp:lastModifiedBy>Ribera García, Arnau</cp:lastModifiedBy>
  <cp:revision>3</cp:revision>
  <dcterms:created xsi:type="dcterms:W3CDTF">2015-12-23T07:16:00Z</dcterms:created>
  <dcterms:modified xsi:type="dcterms:W3CDTF">2015-12-23T07:41:00Z</dcterms:modified>
</cp:coreProperties>
</file>